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Default="00CC1AEF" w:rsidP="002C55EB">
      <w:pPr>
        <w:pStyle w:val="FreeForm"/>
        <w:jc w:val="both"/>
        <w:rPr>
          <w:rFonts w:ascii="Calibri Bold" w:hAnsi="Calibri Bold"/>
          <w:sz w:val="18"/>
        </w:rPr>
      </w:pPr>
      <w:r w:rsidRPr="00CC1AEF">
        <w:rPr>
          <w:noProof/>
        </w:rPr>
        <w:pict>
          <v:roundrect id="_x0000_s1028" style="position:absolute;left:0;text-align:left;margin-left:0;margin-top:8.6pt;width:539.6pt;height:25.7pt;z-index:251670528;mso-wrap-edited:f" arcsize="17722f" coordsize="21600,21600" fillcolor="#17365d [2415]" strokeweight="1pt">
            <v:fill o:detectmouseclick="t"/>
            <v:stroke joinstyle="miter"/>
            <v:path o:connectlocs="10800,10800"/>
            <v:textbox style="mso-next-textbox:#_x0000_s1028" inset="3pt,3pt,3pt,3pt">
              <w:txbxContent>
                <w:p w:rsidR="002E409C" w:rsidRPr="00014DA4" w:rsidRDefault="002E409C" w:rsidP="006234D6">
                  <w:pPr>
                    <w:pStyle w:val="FreeForm"/>
                    <w:rPr>
                      <w:rFonts w:asciiTheme="majorHAnsi" w:eastAsia="Times New Roman" w:hAnsiTheme="majorHAnsi"/>
                      <w:b/>
                      <w:color w:val="auto"/>
                      <w:sz w:val="20"/>
                    </w:rPr>
                  </w:pPr>
                  <w:r w:rsidRPr="00014DA4">
                    <w:rPr>
                      <w:rFonts w:asciiTheme="majorHAnsi" w:hAnsiTheme="majorHAnsi"/>
                      <w:b/>
                      <w:color w:val="FFFFFF"/>
                    </w:rPr>
                    <w:t>Overview</w:t>
                  </w:r>
                  <w:r>
                    <w:rPr>
                      <w:rFonts w:asciiTheme="majorHAnsi" w:hAnsiTheme="majorHAnsi"/>
                      <w:b/>
                      <w:color w:val="FFFFFF"/>
                    </w:rPr>
                    <w:t xml:space="preserve"> for </w:t>
                  </w:r>
                  <w:r w:rsidR="006716B1">
                    <w:rPr>
                      <w:rFonts w:asciiTheme="majorHAnsi" w:hAnsiTheme="majorHAnsi"/>
                      <w:b/>
                      <w:color w:val="FFFFFF"/>
                    </w:rPr>
                    <w:t>Unit 4</w:t>
                  </w:r>
                </w:p>
              </w:txbxContent>
            </v:textbox>
            <w10:wrap type="topAndBottom"/>
          </v:roundrect>
        </w:pict>
      </w:r>
      <w:r w:rsidR="002C55EB">
        <w:rPr>
          <w:rFonts w:ascii="Calibri Bold" w:hAnsi="Calibri Bold"/>
          <w:sz w:val="18"/>
        </w:rPr>
        <w:t>How this investigation fits within the “Concept and Lesson Map”:</w:t>
      </w:r>
    </w:p>
    <w:p w:rsidR="00405D23" w:rsidRPr="00405D23" w:rsidRDefault="00405D23" w:rsidP="000A68B6">
      <w:pPr>
        <w:ind w:left="360"/>
        <w:jc w:val="both"/>
        <w:rPr>
          <w:rFonts w:ascii="Calibri" w:eastAsia="ヒラギノ角ゴ Pro W3" w:hAnsi="Calibri" w:cs="Times New Roman"/>
          <w:sz w:val="18"/>
        </w:rPr>
      </w:pPr>
      <w:r w:rsidRPr="00405D23">
        <w:rPr>
          <w:rFonts w:ascii="Calibri" w:eastAsia="ヒラギノ角ゴ Pro W3" w:hAnsi="Calibri" w:cs="Times New Roman"/>
          <w:sz w:val="18"/>
        </w:rPr>
        <w:t>“Students make observations of the Moon in the sky and notice patterns in the Moon’s cycle of phases.  They explore light and shadow and learn that shadows are not just two-dimensional.  They use a model to explain the Moon’s phases, and they examine images of phases of the Moon as they seek further evidence for the cause of Moon phases.  They create a model to explain what causes eclipses.  As a review of the unit or the whole sequence, they evaluate a variety of Impossible Missions.”  (GEMS, Space Science Sequence, Introduction, Science Background, Assessment Scoring Guides, page 8)</w:t>
      </w:r>
    </w:p>
    <w:p w:rsidR="002C55EB" w:rsidRDefault="002C55EB" w:rsidP="002C55EB">
      <w:pPr>
        <w:jc w:val="both"/>
        <w:rPr>
          <w:rFonts w:ascii="Calibri" w:eastAsia="ヒラギノ角ゴ Pro W3" w:hAnsi="Calibri"/>
          <w:sz w:val="18"/>
        </w:rPr>
      </w:pPr>
    </w:p>
    <w:p w:rsidR="003A11F4" w:rsidRDefault="002C55EB" w:rsidP="002C55EB">
      <w:pPr>
        <w:jc w:val="both"/>
        <w:rPr>
          <w:rFonts w:ascii="Calibri Bold" w:eastAsia="ヒラギノ角ゴ Pro W3" w:hAnsi="Calibri Bold"/>
          <w:sz w:val="18"/>
        </w:rPr>
      </w:pPr>
      <w:r>
        <w:rPr>
          <w:rFonts w:ascii="Calibri Bold" w:eastAsia="ヒラギノ角ゴ Pro W3" w:hAnsi="Calibri Bold"/>
          <w:sz w:val="18"/>
        </w:rPr>
        <w:t>Overarching question(s) for this whole investigation:</w:t>
      </w:r>
    </w:p>
    <w:p w:rsidR="00405D23" w:rsidRPr="00405D23" w:rsidRDefault="00405D23" w:rsidP="00405D23">
      <w:pPr>
        <w:numPr>
          <w:ilvl w:val="0"/>
          <w:numId w:val="4"/>
        </w:numPr>
        <w:tabs>
          <w:tab w:val="clear" w:pos="144"/>
          <w:tab w:val="num" w:pos="360"/>
        </w:tabs>
        <w:jc w:val="both"/>
        <w:rPr>
          <w:rFonts w:ascii="Calibri" w:eastAsia="ヒラギノ角ゴ Pro W3" w:hAnsi="Calibri" w:cs="Times New Roman"/>
          <w:sz w:val="18"/>
        </w:rPr>
      </w:pPr>
      <w:r w:rsidRPr="00405D23">
        <w:rPr>
          <w:rFonts w:ascii="Calibri" w:eastAsia="ヒラギノ角ゴ Pro W3" w:hAnsi="Calibri" w:cs="Times New Roman"/>
          <w:sz w:val="18"/>
        </w:rPr>
        <w:t>What are shadows?  Why does the Moon appear to change in shape? (4.1 and 4.2)</w:t>
      </w:r>
    </w:p>
    <w:p w:rsidR="00405D23" w:rsidRPr="00405D23" w:rsidRDefault="00405D23" w:rsidP="00405D23">
      <w:pPr>
        <w:numPr>
          <w:ilvl w:val="0"/>
          <w:numId w:val="4"/>
        </w:numPr>
        <w:tabs>
          <w:tab w:val="clear" w:pos="144"/>
          <w:tab w:val="num" w:pos="360"/>
        </w:tabs>
        <w:jc w:val="both"/>
        <w:rPr>
          <w:rFonts w:ascii="Calibri" w:eastAsia="ヒラギノ角ゴ Pro W3" w:hAnsi="Calibri" w:cs="Times New Roman"/>
          <w:sz w:val="18"/>
        </w:rPr>
      </w:pPr>
      <w:r w:rsidRPr="00405D23">
        <w:rPr>
          <w:rFonts w:ascii="Calibri" w:eastAsia="ヒラギノ角ゴ Pro W3" w:hAnsi="Calibri" w:cs="Times New Roman"/>
          <w:sz w:val="18"/>
        </w:rPr>
        <w:t>Why do we have moon phases and eclipses? (4.3-4.5)</w:t>
      </w:r>
    </w:p>
    <w:p w:rsidR="006234D6" w:rsidRDefault="00CC1AEF">
      <w:r>
        <w:rPr>
          <w:noProof/>
        </w:rPr>
        <w:pict>
          <v:roundrect id="_x0000_s1042" style="position:absolute;margin-left:0;margin-top:22.7pt;width:539.6pt;height:25.7pt;z-index:251671552;mso-wrap-edited:f" arcsize="17722f" coordsize="21600,21600" wrapcoords="120 0 0 2541 -30 4447 -30 19694 60 20964 21539 20964 21630 19694 21630 4447 21600 2541 21479 0 120 0" fillcolor="#17365d [2415]" strokeweight="1pt">
            <v:fill o:detectmouseclick="t"/>
            <v:stroke joinstyle="miter"/>
            <v:path o:connectlocs="10800,10800"/>
            <v:textbox style="mso-next-textbox:#_x0000_s1042" inset="3pt,3pt,3pt,3pt">
              <w:txbxContent>
                <w:p w:rsidR="002C55EB" w:rsidRPr="00014DA4" w:rsidRDefault="002C55EB" w:rsidP="002C55EB">
                  <w:pPr>
                    <w:pStyle w:val="FreeForm"/>
                    <w:rPr>
                      <w:rFonts w:asciiTheme="majorHAnsi" w:eastAsia="Times New Roman" w:hAnsiTheme="majorHAnsi"/>
                      <w:b/>
                      <w:color w:val="auto"/>
                      <w:sz w:val="20"/>
                    </w:rPr>
                  </w:pPr>
                  <w:r>
                    <w:rPr>
                      <w:rFonts w:asciiTheme="majorHAnsi" w:hAnsiTheme="majorHAnsi"/>
                      <w:b/>
                      <w:color w:val="FFFFFF"/>
                    </w:rPr>
                    <w:t>Attending to “How People Learn”</w:t>
                  </w:r>
                </w:p>
              </w:txbxContent>
            </v:textbox>
            <w10:wrap type="topAndBottom"/>
          </v:roundrect>
        </w:pict>
      </w:r>
    </w:p>
    <w:p w:rsidR="002C55EB" w:rsidRDefault="002C55EB" w:rsidP="002C55EB">
      <w:pPr>
        <w:pStyle w:val="FreeForm"/>
        <w:jc w:val="both"/>
        <w:rPr>
          <w:rFonts w:ascii="Calibri" w:hAnsi="Calibri"/>
          <w:sz w:val="18"/>
        </w:rPr>
      </w:pPr>
      <w:r>
        <w:rPr>
          <w:rFonts w:ascii="Calibri Bold" w:hAnsi="Calibri Bold"/>
          <w:sz w:val="18"/>
        </w:rPr>
        <w:t>How People Learn Key Finding #1: Preconceptions</w:t>
      </w:r>
    </w:p>
    <w:p w:rsidR="002C55EB" w:rsidRDefault="002C55EB" w:rsidP="002C55EB">
      <w:pPr>
        <w:pStyle w:val="FreeForm"/>
        <w:ind w:left="680"/>
        <w:jc w:val="both"/>
        <w:rPr>
          <w:rFonts w:ascii="Calibri Bold" w:hAnsi="Calibri Bold"/>
          <w:sz w:val="18"/>
        </w:rPr>
      </w:pPr>
      <w:r>
        <w:rPr>
          <w:rFonts w:ascii="Calibri Bold" w:hAnsi="Calibri Bold"/>
          <w:sz w:val="18"/>
        </w:rPr>
        <w:t>Eliciting Students Ideas:</w:t>
      </w:r>
    </w:p>
    <w:p w:rsidR="00405D23" w:rsidRPr="00405D23" w:rsidRDefault="00405D23" w:rsidP="00DA23FC">
      <w:pPr>
        <w:pStyle w:val="FreeForm"/>
        <w:ind w:left="1080"/>
        <w:jc w:val="both"/>
        <w:rPr>
          <w:rFonts w:ascii="Calibri" w:hAnsi="Calibri"/>
          <w:sz w:val="18"/>
        </w:rPr>
      </w:pPr>
      <w:r w:rsidRPr="00405D23">
        <w:rPr>
          <w:rFonts w:ascii="Calibri" w:hAnsi="Calibri"/>
          <w:sz w:val="18"/>
        </w:rPr>
        <w:t>Pre-Unit 4 Questionnaire, Session 4.1 Student Sheet: “The pre-unit questionnaire</w:t>
      </w:r>
      <w:r w:rsidR="003F7AE1">
        <w:rPr>
          <w:rFonts w:ascii="Calibri" w:hAnsi="Calibri"/>
          <w:sz w:val="18"/>
        </w:rPr>
        <w:t>s</w:t>
      </w:r>
      <w:r w:rsidRPr="00405D23">
        <w:rPr>
          <w:rFonts w:ascii="Calibri" w:hAnsi="Calibri"/>
          <w:sz w:val="18"/>
        </w:rPr>
        <w:t xml:space="preserve"> allow teachers to gather information about their students</w:t>
      </w:r>
      <w:r w:rsidR="003F7AE1">
        <w:rPr>
          <w:rFonts w:ascii="Calibri" w:hAnsi="Calibri"/>
          <w:sz w:val="18"/>
        </w:rPr>
        <w:t>’</w:t>
      </w:r>
      <w:r w:rsidRPr="00405D23">
        <w:rPr>
          <w:rFonts w:ascii="Calibri" w:hAnsi="Calibri"/>
          <w:sz w:val="18"/>
        </w:rPr>
        <w:t xml:space="preserve"> possible misconceptions and current understandings of the key concepts in the unit.” See Scoring Guide pages 86-87.</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Common Student Preconceptions:</w:t>
      </w:r>
    </w:p>
    <w:p w:rsidR="00405D23" w:rsidRPr="00405D23" w:rsidRDefault="00405D23" w:rsidP="00DA23FC">
      <w:pPr>
        <w:pStyle w:val="FreeForm"/>
        <w:ind w:left="1080"/>
        <w:jc w:val="both"/>
        <w:rPr>
          <w:rFonts w:ascii="Calibri" w:hAnsi="Calibri"/>
          <w:sz w:val="18"/>
        </w:rPr>
      </w:pPr>
      <w:r w:rsidRPr="00405D23">
        <w:rPr>
          <w:rFonts w:ascii="Calibri" w:hAnsi="Calibri"/>
          <w:sz w:val="18"/>
        </w:rPr>
        <w:t>Guidebook for entire kit from GEMS Space Science Sequence, Background, page 41-44</w:t>
      </w:r>
    </w:p>
    <w:p w:rsidR="002C55EB" w:rsidRDefault="002C55EB" w:rsidP="002C55EB">
      <w:pPr>
        <w:pStyle w:val="FreeForm"/>
        <w:jc w:val="both"/>
        <w:rPr>
          <w:rFonts w:ascii="Calibri" w:hAnsi="Calibri"/>
          <w:sz w:val="18"/>
          <w:lang w:val="en-GB"/>
        </w:rPr>
      </w:pPr>
    </w:p>
    <w:p w:rsidR="002C55EB" w:rsidRDefault="002C55EB" w:rsidP="002C55EB">
      <w:pPr>
        <w:pStyle w:val="FreeForm"/>
        <w:jc w:val="both"/>
        <w:rPr>
          <w:rFonts w:ascii="Calibri" w:hAnsi="Calibri"/>
          <w:sz w:val="18"/>
          <w:lang w:val="en-GB"/>
        </w:rPr>
      </w:pPr>
      <w:r>
        <w:rPr>
          <w:rFonts w:ascii="Calibri Bold" w:hAnsi="Calibri Bold"/>
          <w:sz w:val="18"/>
          <w:lang w:val="en-GB"/>
        </w:rPr>
        <w:t>How People Learn Key Finding #2: Facts/Concepts/Knowledge</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WA State Content Standards “Science Domains” (EALR 4):</w:t>
      </w:r>
    </w:p>
    <w:p w:rsidR="00DA23FC" w:rsidRPr="00DA23FC" w:rsidRDefault="00DA23FC" w:rsidP="00DA23FC">
      <w:pPr>
        <w:pStyle w:val="FreeForm"/>
        <w:ind w:left="1080"/>
        <w:jc w:val="both"/>
        <w:rPr>
          <w:rFonts w:ascii="Calibri" w:hAnsi="Calibri"/>
          <w:bCs/>
          <w:sz w:val="18"/>
        </w:rPr>
      </w:pPr>
      <w:r w:rsidRPr="00DA23FC">
        <w:rPr>
          <w:rFonts w:ascii="Calibri" w:hAnsi="Calibri"/>
          <w:bCs/>
          <w:sz w:val="18"/>
        </w:rPr>
        <w:t xml:space="preserve">6-8 ES1A </w:t>
      </w:r>
      <w:proofErr w:type="gramStart"/>
      <w:r w:rsidRPr="00DA23FC">
        <w:rPr>
          <w:rFonts w:ascii="Calibri" w:hAnsi="Calibri"/>
          <w:bCs/>
          <w:sz w:val="18"/>
        </w:rPr>
        <w:t>The</w:t>
      </w:r>
      <w:proofErr w:type="gramEnd"/>
      <w:r w:rsidRPr="00DA23FC">
        <w:rPr>
          <w:rFonts w:ascii="Calibri" w:hAnsi="Calibri"/>
          <w:bCs/>
          <w:sz w:val="18"/>
        </w:rPr>
        <w:t xml:space="preserve"> Moon's monthly cycle of phases can be explained by its changing relative position as it </w:t>
      </w:r>
      <w:r w:rsidRPr="00DA23FC">
        <w:rPr>
          <w:rFonts w:ascii="Calibri" w:hAnsi="Calibri"/>
          <w:bCs/>
          <w:i/>
          <w:iCs/>
          <w:sz w:val="18"/>
        </w:rPr>
        <w:t>orbits</w:t>
      </w:r>
      <w:r w:rsidRPr="00DA23FC">
        <w:rPr>
          <w:rFonts w:ascii="Calibri" w:hAnsi="Calibri"/>
          <w:bCs/>
          <w:sz w:val="18"/>
        </w:rPr>
        <w:t xml:space="preserve"> Earth. An </w:t>
      </w:r>
      <w:r w:rsidRPr="00DA23FC">
        <w:rPr>
          <w:rFonts w:ascii="Calibri" w:hAnsi="Calibri"/>
          <w:bCs/>
          <w:i/>
          <w:iCs/>
          <w:sz w:val="18"/>
        </w:rPr>
        <w:t>eclipse</w:t>
      </w:r>
      <w:r w:rsidRPr="00DA23FC">
        <w:rPr>
          <w:rFonts w:ascii="Calibri" w:hAnsi="Calibri"/>
          <w:bCs/>
          <w:sz w:val="18"/>
        </w:rPr>
        <w:t xml:space="preserve"> of the Moon occurs when the Moon enters Earth's shadow. An </w:t>
      </w:r>
      <w:r w:rsidRPr="00DA23FC">
        <w:rPr>
          <w:rFonts w:ascii="Calibri" w:hAnsi="Calibri"/>
          <w:bCs/>
          <w:i/>
          <w:iCs/>
          <w:sz w:val="18"/>
        </w:rPr>
        <w:t>eclipse</w:t>
      </w:r>
      <w:r w:rsidRPr="00DA23FC">
        <w:rPr>
          <w:rFonts w:ascii="Calibri" w:hAnsi="Calibri"/>
          <w:bCs/>
          <w:sz w:val="18"/>
        </w:rPr>
        <w:t xml:space="preserve"> of the Sun occurs when the </w:t>
      </w:r>
      <w:r w:rsidRPr="00DA23FC">
        <w:rPr>
          <w:rFonts w:ascii="Calibri" w:hAnsi="Calibri"/>
          <w:bCs/>
          <w:i/>
          <w:iCs/>
          <w:sz w:val="18"/>
        </w:rPr>
        <w:t>Moon</w:t>
      </w:r>
      <w:r w:rsidRPr="00DA23FC">
        <w:rPr>
          <w:rFonts w:ascii="Calibri" w:hAnsi="Calibri"/>
          <w:bCs/>
          <w:sz w:val="18"/>
        </w:rPr>
        <w:t xml:space="preserve"> is between the Earth and Sun, and the Moon's shadow falls on the Earth.</w:t>
      </w:r>
    </w:p>
    <w:p w:rsidR="00F54D59" w:rsidRDefault="00F54D59" w:rsidP="002C55EB">
      <w:pPr>
        <w:pStyle w:val="FreeForm"/>
        <w:ind w:left="680"/>
        <w:jc w:val="both"/>
        <w:rPr>
          <w:rFonts w:ascii="Calibri Bold" w:hAnsi="Calibri Bold"/>
          <w:sz w:val="18"/>
          <w:lang w:val="en-GB"/>
        </w:rPr>
      </w:pP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WA State Content Standards “Science Domains” (EALRs 1-3):</w:t>
      </w:r>
    </w:p>
    <w:p w:rsidR="00DA23FC" w:rsidRPr="00DA23FC" w:rsidRDefault="00DA23FC" w:rsidP="00DA23FC">
      <w:pPr>
        <w:pStyle w:val="FreeForm"/>
        <w:numPr>
          <w:ilvl w:val="0"/>
          <w:numId w:val="17"/>
        </w:numPr>
        <w:ind w:left="1260" w:hanging="180"/>
        <w:jc w:val="both"/>
        <w:rPr>
          <w:rFonts w:ascii="Calibri" w:hAnsi="Calibri"/>
          <w:bCs/>
          <w:sz w:val="18"/>
        </w:rPr>
      </w:pPr>
      <w:r w:rsidRPr="00DA23FC">
        <w:rPr>
          <w:rFonts w:ascii="Calibri" w:hAnsi="Calibri"/>
          <w:bCs/>
          <w:sz w:val="18"/>
        </w:rPr>
        <w:t xml:space="preserve">4-5 INQF —Models— A scientific </w:t>
      </w:r>
      <w:r w:rsidRPr="00DA23FC">
        <w:rPr>
          <w:rFonts w:ascii="Calibri" w:hAnsi="Calibri"/>
          <w:bCs/>
          <w:i/>
          <w:iCs/>
          <w:sz w:val="18"/>
        </w:rPr>
        <w:t>model</w:t>
      </w:r>
      <w:r w:rsidRPr="00DA23FC">
        <w:rPr>
          <w:rFonts w:ascii="Calibri" w:hAnsi="Calibri"/>
          <w:bCs/>
          <w:sz w:val="18"/>
        </w:rPr>
        <w:t xml:space="preserve"> is a simplified representation of an object, event, </w:t>
      </w:r>
      <w:r w:rsidRPr="00DA23FC">
        <w:rPr>
          <w:rFonts w:ascii="Calibri" w:hAnsi="Calibri"/>
          <w:bCs/>
          <w:i/>
          <w:iCs/>
          <w:sz w:val="18"/>
        </w:rPr>
        <w:t>system</w:t>
      </w:r>
      <w:r w:rsidRPr="00DA23FC">
        <w:rPr>
          <w:rFonts w:ascii="Calibri" w:hAnsi="Calibri"/>
          <w:bCs/>
          <w:sz w:val="18"/>
        </w:rPr>
        <w:t xml:space="preserve">, or process created to understand some aspect of the </w:t>
      </w:r>
      <w:r w:rsidRPr="00DA23FC">
        <w:rPr>
          <w:rFonts w:ascii="Calibri" w:hAnsi="Calibri"/>
          <w:bCs/>
          <w:i/>
          <w:iCs/>
          <w:sz w:val="18"/>
        </w:rPr>
        <w:t>natural world</w:t>
      </w:r>
      <w:r w:rsidRPr="00DA23FC">
        <w:rPr>
          <w:rFonts w:ascii="Calibri" w:hAnsi="Calibri"/>
          <w:bCs/>
          <w:sz w:val="18"/>
        </w:rPr>
        <w:t xml:space="preserve">. When learning from a </w:t>
      </w:r>
      <w:r w:rsidRPr="00DA23FC">
        <w:rPr>
          <w:rFonts w:ascii="Calibri" w:hAnsi="Calibri"/>
          <w:bCs/>
          <w:i/>
          <w:iCs/>
          <w:sz w:val="18"/>
        </w:rPr>
        <w:t>model</w:t>
      </w:r>
      <w:r w:rsidRPr="00DA23FC">
        <w:rPr>
          <w:rFonts w:ascii="Calibri" w:hAnsi="Calibri"/>
          <w:bCs/>
          <w:sz w:val="18"/>
        </w:rPr>
        <w:t xml:space="preserve">, it is important to realize that the </w:t>
      </w:r>
      <w:r w:rsidRPr="00DA23FC">
        <w:rPr>
          <w:rFonts w:ascii="Calibri" w:hAnsi="Calibri"/>
          <w:bCs/>
          <w:i/>
          <w:iCs/>
          <w:sz w:val="18"/>
        </w:rPr>
        <w:t>model</w:t>
      </w:r>
      <w:r w:rsidRPr="00DA23FC">
        <w:rPr>
          <w:rFonts w:ascii="Calibri" w:hAnsi="Calibri"/>
          <w:bCs/>
          <w:sz w:val="18"/>
        </w:rPr>
        <w:t xml:space="preserve"> is not exactly the same as the thing being modeled.</w:t>
      </w:r>
    </w:p>
    <w:p w:rsidR="00DA23FC" w:rsidRPr="00DA23FC" w:rsidRDefault="00DA23FC" w:rsidP="00DA23FC">
      <w:pPr>
        <w:pStyle w:val="FreeForm"/>
        <w:numPr>
          <w:ilvl w:val="0"/>
          <w:numId w:val="17"/>
        </w:numPr>
        <w:ind w:left="1260" w:hanging="180"/>
        <w:jc w:val="both"/>
        <w:rPr>
          <w:rFonts w:ascii="Calibri" w:hAnsi="Calibri"/>
          <w:bCs/>
          <w:sz w:val="18"/>
        </w:rPr>
      </w:pPr>
      <w:r w:rsidRPr="00DA23FC">
        <w:rPr>
          <w:rFonts w:ascii="Calibri" w:hAnsi="Calibri"/>
          <w:bCs/>
          <w:sz w:val="18"/>
        </w:rPr>
        <w:t xml:space="preserve">4-5 INQG —Explain— Scientific explanations emphasize </w:t>
      </w:r>
      <w:r w:rsidRPr="00DA23FC">
        <w:rPr>
          <w:rFonts w:ascii="Calibri" w:hAnsi="Calibri"/>
          <w:bCs/>
          <w:i/>
          <w:iCs/>
          <w:sz w:val="18"/>
        </w:rPr>
        <w:t>evidence</w:t>
      </w:r>
      <w:r w:rsidRPr="00DA23FC">
        <w:rPr>
          <w:rFonts w:ascii="Calibri" w:hAnsi="Calibri"/>
          <w:bCs/>
          <w:sz w:val="18"/>
        </w:rPr>
        <w:t xml:space="preserve">, have logically consistent arguments, and use known scientific </w:t>
      </w:r>
      <w:r w:rsidRPr="00DA23FC">
        <w:rPr>
          <w:rFonts w:ascii="Calibri" w:hAnsi="Calibri"/>
          <w:bCs/>
          <w:i/>
          <w:iCs/>
          <w:sz w:val="18"/>
        </w:rPr>
        <w:t>principles, models</w:t>
      </w:r>
      <w:r w:rsidRPr="00DA23FC">
        <w:rPr>
          <w:rFonts w:ascii="Calibri" w:hAnsi="Calibri"/>
          <w:bCs/>
          <w:sz w:val="18"/>
        </w:rPr>
        <w:t xml:space="preserve">, and </w:t>
      </w:r>
      <w:r w:rsidRPr="00DA23FC">
        <w:rPr>
          <w:rFonts w:ascii="Calibri" w:hAnsi="Calibri"/>
          <w:bCs/>
          <w:i/>
          <w:iCs/>
          <w:sz w:val="18"/>
        </w:rPr>
        <w:t>theories</w:t>
      </w:r>
      <w:r w:rsidRPr="00DA23FC">
        <w:rPr>
          <w:rFonts w:ascii="Calibri" w:hAnsi="Calibri"/>
          <w:bCs/>
          <w:sz w:val="18"/>
        </w:rPr>
        <w:t>.</w:t>
      </w:r>
    </w:p>
    <w:p w:rsidR="00DA23FC" w:rsidRPr="00DA23FC" w:rsidRDefault="00DA23FC" w:rsidP="00DA23FC">
      <w:pPr>
        <w:pStyle w:val="FreeForm"/>
        <w:numPr>
          <w:ilvl w:val="0"/>
          <w:numId w:val="17"/>
        </w:numPr>
        <w:ind w:left="1260" w:hanging="180"/>
        <w:jc w:val="both"/>
        <w:rPr>
          <w:rFonts w:ascii="Calibri" w:hAnsi="Calibri"/>
          <w:bCs/>
          <w:sz w:val="18"/>
        </w:rPr>
      </w:pPr>
      <w:r w:rsidRPr="00DA23FC">
        <w:rPr>
          <w:rFonts w:ascii="Calibri" w:hAnsi="Calibri"/>
          <w:bCs/>
          <w:sz w:val="18"/>
        </w:rPr>
        <w:t xml:space="preserve">6-8 INQE —Model— </w:t>
      </w:r>
      <w:r w:rsidRPr="00DA23FC">
        <w:rPr>
          <w:rFonts w:ascii="Calibri" w:hAnsi="Calibri"/>
          <w:bCs/>
          <w:i/>
          <w:iCs/>
          <w:sz w:val="18"/>
        </w:rPr>
        <w:t>Models</w:t>
      </w:r>
      <w:r w:rsidRPr="00DA23FC">
        <w:rPr>
          <w:rFonts w:ascii="Calibri" w:hAnsi="Calibri"/>
          <w:bCs/>
          <w:sz w:val="18"/>
        </w:rPr>
        <w:t xml:space="preserve"> are used to represent objects, events, </w:t>
      </w:r>
      <w:r w:rsidRPr="00DA23FC">
        <w:rPr>
          <w:rFonts w:ascii="Calibri" w:hAnsi="Calibri"/>
          <w:bCs/>
          <w:i/>
          <w:iCs/>
          <w:sz w:val="18"/>
        </w:rPr>
        <w:t>systems</w:t>
      </w:r>
      <w:r w:rsidRPr="00DA23FC">
        <w:rPr>
          <w:rFonts w:ascii="Calibri" w:hAnsi="Calibri"/>
          <w:bCs/>
          <w:sz w:val="18"/>
        </w:rPr>
        <w:t xml:space="preserve">, and processes. </w:t>
      </w:r>
      <w:r w:rsidRPr="00DA23FC">
        <w:rPr>
          <w:rFonts w:ascii="Calibri" w:hAnsi="Calibri"/>
          <w:bCs/>
          <w:i/>
          <w:iCs/>
          <w:sz w:val="18"/>
        </w:rPr>
        <w:t>Models</w:t>
      </w:r>
      <w:r w:rsidRPr="00DA23FC">
        <w:rPr>
          <w:rFonts w:ascii="Calibri" w:hAnsi="Calibri"/>
          <w:bCs/>
          <w:sz w:val="18"/>
        </w:rPr>
        <w:t xml:space="preserve"> can be used to test </w:t>
      </w:r>
      <w:r w:rsidRPr="00DA23FC">
        <w:rPr>
          <w:rFonts w:ascii="Calibri" w:hAnsi="Calibri"/>
          <w:bCs/>
          <w:i/>
          <w:iCs/>
          <w:sz w:val="18"/>
        </w:rPr>
        <w:t>hypotheses</w:t>
      </w:r>
      <w:r w:rsidRPr="00DA23FC">
        <w:rPr>
          <w:rFonts w:ascii="Calibri" w:hAnsi="Calibri"/>
          <w:bCs/>
          <w:sz w:val="18"/>
        </w:rPr>
        <w:t xml:space="preserve"> and better understand </w:t>
      </w:r>
      <w:r w:rsidRPr="00DA23FC">
        <w:rPr>
          <w:rFonts w:ascii="Calibri" w:hAnsi="Calibri"/>
          <w:bCs/>
          <w:i/>
          <w:iCs/>
          <w:sz w:val="18"/>
        </w:rPr>
        <w:t>phenomena</w:t>
      </w:r>
      <w:r w:rsidRPr="00DA23FC">
        <w:rPr>
          <w:rFonts w:ascii="Calibri" w:hAnsi="Calibri"/>
          <w:bCs/>
          <w:sz w:val="18"/>
        </w:rPr>
        <w:t>, but they have limitations.</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Key understandings for the teacher:</w:t>
      </w:r>
    </w:p>
    <w:p w:rsidR="00DA23FC" w:rsidRPr="00DA23FC" w:rsidRDefault="00DA23FC" w:rsidP="00DA23FC">
      <w:pPr>
        <w:pStyle w:val="FreeForm"/>
        <w:ind w:left="1080"/>
        <w:rPr>
          <w:rFonts w:ascii="Calibri" w:hAnsi="Calibri"/>
          <w:sz w:val="18"/>
        </w:rPr>
      </w:pPr>
      <w:r w:rsidRPr="00DA23FC">
        <w:rPr>
          <w:rFonts w:ascii="Calibri" w:hAnsi="Calibri"/>
          <w:sz w:val="18"/>
        </w:rPr>
        <w:t>See The Key Concept Wall on page 489.</w:t>
      </w:r>
    </w:p>
    <w:p w:rsidR="002C55EB" w:rsidRDefault="002C55EB" w:rsidP="002C55EB">
      <w:pPr>
        <w:pStyle w:val="FreeForm"/>
        <w:jc w:val="both"/>
        <w:rPr>
          <w:rFonts w:ascii="Calibri Bold" w:hAnsi="Calibri Bold"/>
          <w:sz w:val="18"/>
        </w:rPr>
      </w:pPr>
    </w:p>
    <w:p w:rsidR="002C55EB" w:rsidRDefault="002C55EB" w:rsidP="002C55EB">
      <w:pPr>
        <w:pStyle w:val="FreeForm"/>
        <w:jc w:val="both"/>
        <w:rPr>
          <w:rFonts w:ascii="Calibri Bold" w:hAnsi="Calibri Bold"/>
          <w:sz w:val="18"/>
          <w:lang w:val="en-GB"/>
        </w:rPr>
      </w:pPr>
      <w:r>
        <w:rPr>
          <w:rFonts w:ascii="Calibri Bold" w:hAnsi="Calibri Bold"/>
          <w:sz w:val="18"/>
          <w:lang w:val="en-GB"/>
        </w:rPr>
        <w:t>How People Learn Kay Finding #3: Metacognition</w:t>
      </w:r>
    </w:p>
    <w:p w:rsidR="002C55EB" w:rsidRDefault="002C55EB" w:rsidP="002C55EB">
      <w:pPr>
        <w:ind w:left="680"/>
        <w:rPr>
          <w:rFonts w:ascii="Calibri Bold" w:eastAsia="ヒラギノ角ゴ Pro W3" w:hAnsi="Calibri Bold"/>
          <w:sz w:val="18"/>
        </w:rPr>
      </w:pPr>
      <w:r>
        <w:rPr>
          <w:rFonts w:ascii="Calibri Bold" w:eastAsia="ヒラギノ角ゴ Pro W3" w:hAnsi="Calibri Bold"/>
          <w:sz w:val="18"/>
        </w:rPr>
        <w:t>Metacognition: How did my thinking change? What caused the change? How did I come to believe this?</w:t>
      </w:r>
    </w:p>
    <w:p w:rsidR="00DA23FC" w:rsidRPr="00DA23FC" w:rsidRDefault="00DA23FC" w:rsidP="00DA23FC">
      <w:pPr>
        <w:pStyle w:val="MediumGrid1-Accent21"/>
        <w:numPr>
          <w:ilvl w:val="0"/>
          <w:numId w:val="18"/>
        </w:numPr>
        <w:ind w:left="1260" w:hanging="180"/>
        <w:jc w:val="both"/>
        <w:rPr>
          <w:rFonts w:ascii="Calibri" w:eastAsia="Arial" w:hAnsi="Calibri" w:cs="Arial"/>
          <w:sz w:val="18"/>
          <w:szCs w:val="18"/>
        </w:rPr>
      </w:pPr>
      <w:r w:rsidRPr="00DA23FC">
        <w:rPr>
          <w:rFonts w:ascii="Calibri" w:eastAsia="Arial" w:hAnsi="Calibri" w:cs="Arial"/>
          <w:sz w:val="18"/>
          <w:szCs w:val="18"/>
        </w:rPr>
        <w:t>The post-unit questionnaires allow teachers to gather information about how students</w:t>
      </w:r>
      <w:r w:rsidR="003F7AE1">
        <w:rPr>
          <w:rFonts w:ascii="Calibri" w:eastAsia="Arial" w:hAnsi="Calibri" w:cs="Arial"/>
          <w:sz w:val="18"/>
          <w:szCs w:val="18"/>
        </w:rPr>
        <w:t>’</w:t>
      </w:r>
      <w:r w:rsidRPr="00DA23FC">
        <w:rPr>
          <w:rFonts w:ascii="Calibri" w:eastAsia="Arial" w:hAnsi="Calibri" w:cs="Arial"/>
          <w:sz w:val="18"/>
          <w:szCs w:val="18"/>
        </w:rPr>
        <w:t xml:space="preserve"> ideas and understandings have changed during the unit and to measure progress in students learning. See Post-Unit Questionnaire, Session 4.5 Student Sheet, and Scoring Guide pages 88-89. See </w:t>
      </w:r>
      <w:r w:rsidRPr="00DA23FC">
        <w:rPr>
          <w:rFonts w:ascii="Calibri" w:eastAsia="Arial" w:hAnsi="Calibri" w:cs="Arial"/>
          <w:i/>
          <w:iCs/>
          <w:sz w:val="18"/>
          <w:szCs w:val="18"/>
        </w:rPr>
        <w:t>The Post-Unit 4 Questionnaire,</w:t>
      </w:r>
      <w:r w:rsidRPr="00DA23FC">
        <w:rPr>
          <w:rFonts w:ascii="Calibri" w:eastAsia="Arial" w:hAnsi="Calibri" w:cs="Arial"/>
          <w:sz w:val="18"/>
          <w:szCs w:val="18"/>
        </w:rPr>
        <w:t xml:space="preserve"> page 496.</w:t>
      </w:r>
    </w:p>
    <w:p w:rsidR="00DA23FC" w:rsidRPr="00DA23FC" w:rsidRDefault="00DA23FC" w:rsidP="00DA23FC">
      <w:pPr>
        <w:pStyle w:val="MediumGrid1-Accent21"/>
        <w:numPr>
          <w:ilvl w:val="0"/>
          <w:numId w:val="18"/>
        </w:numPr>
        <w:ind w:left="1260" w:hanging="180"/>
        <w:jc w:val="both"/>
        <w:rPr>
          <w:rFonts w:ascii="Calibri" w:eastAsia="Arial" w:hAnsi="Calibri" w:cs="Arial"/>
          <w:sz w:val="18"/>
          <w:szCs w:val="18"/>
        </w:rPr>
      </w:pPr>
      <w:r w:rsidRPr="00DA23FC">
        <w:rPr>
          <w:rFonts w:ascii="Calibri" w:eastAsia="Arial" w:hAnsi="Calibri" w:cs="Arial"/>
          <w:sz w:val="18"/>
          <w:szCs w:val="18"/>
        </w:rPr>
        <w:t>See Guidebook for entire kit from GEMS Space Science Sequence, meaning-making discussions, writing prompts and evidence circles.</w:t>
      </w:r>
    </w:p>
    <w:p w:rsidR="002C55EB" w:rsidRDefault="002C55EB" w:rsidP="00FF4662">
      <w:pPr>
        <w:pStyle w:val="MediumGrid1-Accent21"/>
        <w:spacing w:after="0"/>
        <w:ind w:left="1080" w:hanging="360"/>
        <w:jc w:val="both"/>
        <w:rPr>
          <w:rFonts w:ascii="Calibri Bold" w:hAnsi="Calibri Bold"/>
          <w:sz w:val="18"/>
        </w:rPr>
      </w:pPr>
      <w:r>
        <w:rPr>
          <w:rFonts w:ascii="Calibri Bold" w:hAnsi="Calibri Bold"/>
          <w:sz w:val="18"/>
        </w:rPr>
        <w:t>Evidence of Student Understanding:</w:t>
      </w:r>
    </w:p>
    <w:p w:rsidR="00735721" w:rsidRPr="00735721" w:rsidRDefault="00735721" w:rsidP="00735721">
      <w:pPr>
        <w:pStyle w:val="FreeForm"/>
        <w:ind w:left="1260"/>
        <w:jc w:val="both"/>
        <w:rPr>
          <w:rFonts w:ascii="Calibri" w:hAnsi="Calibri"/>
          <w:sz w:val="18"/>
        </w:rPr>
      </w:pPr>
      <w:r w:rsidRPr="00735721">
        <w:rPr>
          <w:rFonts w:ascii="Calibri" w:hAnsi="Calibri"/>
          <w:sz w:val="18"/>
        </w:rPr>
        <w:t>Pre and Post Questionnaires, Session 4.1 Student Sheet and Session 4.5 Student Sheet, Scoring Guides pages 86-89.</w:t>
      </w:r>
    </w:p>
    <w:p w:rsidR="00FF4662" w:rsidRDefault="00FF4662" w:rsidP="00735721">
      <w:pPr>
        <w:pStyle w:val="FreeForm"/>
        <w:ind w:left="720"/>
        <w:jc w:val="both"/>
        <w:rPr>
          <w:rFonts w:ascii="Calibri" w:hAnsi="Calibri"/>
          <w:sz w:val="18"/>
        </w:rPr>
      </w:pPr>
    </w:p>
    <w:p w:rsidR="00FF4662" w:rsidRDefault="00FF4662" w:rsidP="00FF4662">
      <w:pPr>
        <w:pStyle w:val="FreeForm"/>
        <w:jc w:val="both"/>
        <w:rPr>
          <w:rFonts w:ascii="Calibri" w:hAnsi="Calibri"/>
          <w:sz w:val="18"/>
        </w:rPr>
      </w:pPr>
    </w:p>
    <w:p w:rsidR="00FF4662" w:rsidRDefault="00FF4662" w:rsidP="00FF4662">
      <w:pPr>
        <w:pStyle w:val="FreeForm"/>
        <w:jc w:val="both"/>
        <w:rPr>
          <w:rFonts w:ascii="Calibri" w:hAnsi="Calibri"/>
          <w:sz w:val="18"/>
        </w:rPr>
      </w:pPr>
    </w:p>
    <w:p w:rsidR="00FF4662" w:rsidRDefault="00FF4662" w:rsidP="00FF4662">
      <w:pPr>
        <w:pStyle w:val="FreeForm"/>
        <w:jc w:val="both"/>
        <w:rPr>
          <w:rFonts w:ascii="Calibri" w:hAnsi="Calibri"/>
          <w:sz w:val="18"/>
        </w:rPr>
      </w:pPr>
    </w:p>
    <w:p w:rsidR="00FF4662" w:rsidRPr="00FF4662" w:rsidRDefault="00FF4662" w:rsidP="00FF4662">
      <w:pPr>
        <w:pStyle w:val="FreeForm"/>
        <w:jc w:val="both"/>
        <w:rPr>
          <w:rFonts w:ascii="Calibri" w:hAnsi="Calibri"/>
          <w:sz w:val="18"/>
        </w:rPr>
      </w:pPr>
    </w:p>
    <w:p w:rsidR="008F6437" w:rsidRDefault="008F6437" w:rsidP="00F54D59">
      <w:pPr>
        <w:pStyle w:val="FreeForm"/>
        <w:ind w:left="1260" w:hanging="180"/>
        <w:jc w:val="both"/>
        <w:rPr>
          <w:rFonts w:ascii="Calibri Bold" w:hAnsi="Calibri Bold"/>
          <w:sz w:val="18"/>
        </w:rPr>
      </w:pPr>
    </w:p>
    <w:p w:rsidR="00F54D59" w:rsidRDefault="00CC1AEF" w:rsidP="00F54D59">
      <w:pPr>
        <w:pStyle w:val="FreeForm"/>
        <w:ind w:left="1260" w:hanging="180"/>
        <w:jc w:val="both"/>
        <w:rPr>
          <w:rFonts w:ascii="Calibri Bold" w:hAnsi="Calibri Bold"/>
          <w:sz w:val="18"/>
        </w:rPr>
      </w:pPr>
      <w:r w:rsidRPr="00CC1AEF">
        <w:rPr>
          <w:noProof/>
        </w:rPr>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17365d [2415]" strokeweight="1pt">
            <v:fill o:detectmouseclick="t"/>
            <v:stroke joinstyle="miter"/>
            <v:path o:connectlocs="10800,10800"/>
            <v:textbox style="mso-next-textbox:#_x0000_s1043" inset="3pt,3pt,3pt,3pt">
              <w:txbxContent>
                <w:p w:rsidR="002C55EB" w:rsidRPr="00014DA4" w:rsidRDefault="002C55EB" w:rsidP="002C55EB">
                  <w:pPr>
                    <w:pStyle w:val="FreeForm"/>
                    <w:rPr>
                      <w:rFonts w:asciiTheme="majorHAnsi" w:eastAsia="Times New Roman" w:hAnsiTheme="majorHAnsi"/>
                      <w:b/>
                      <w:color w:val="auto"/>
                      <w:sz w:val="20"/>
                    </w:rPr>
                  </w:pPr>
                  <w:r>
                    <w:rPr>
                      <w:rFonts w:asciiTheme="majorHAnsi" w:hAnsiTheme="majorHAnsi"/>
                      <w:b/>
                      <w:color w:val="FFFFFF"/>
                    </w:rPr>
                    <w:t>Additional Information</w:t>
                  </w:r>
                </w:p>
              </w:txbxContent>
            </v:textbox>
          </v:roundrect>
        </w:pict>
      </w:r>
    </w:p>
    <w:p w:rsidR="00F54D59" w:rsidRDefault="00F54D59" w:rsidP="00F54D59">
      <w:pPr>
        <w:pStyle w:val="FreeForm"/>
        <w:ind w:left="1260" w:hanging="180"/>
        <w:jc w:val="both"/>
        <w:rPr>
          <w:rFonts w:ascii="Calibri Bold" w:hAnsi="Calibri Bold"/>
          <w:sz w:val="18"/>
        </w:rPr>
      </w:pPr>
    </w:p>
    <w:p w:rsidR="00F54D59" w:rsidRDefault="00F54D59" w:rsidP="00F54D59">
      <w:pPr>
        <w:pStyle w:val="FreeForm"/>
        <w:ind w:left="1260" w:hanging="180"/>
        <w:jc w:val="both"/>
        <w:rPr>
          <w:rFonts w:ascii="Calibri Bold" w:hAnsi="Calibri Bold"/>
          <w:sz w:val="18"/>
        </w:rPr>
      </w:pPr>
    </w:p>
    <w:p w:rsidR="00F54D59" w:rsidRPr="003F7AE1" w:rsidRDefault="00F54D59" w:rsidP="003F7AE1">
      <w:pPr>
        <w:pStyle w:val="FreeForm"/>
        <w:ind w:left="1080"/>
        <w:jc w:val="both"/>
        <w:rPr>
          <w:rFonts w:ascii="Calibri" w:hAnsi="Calibri"/>
          <w:sz w:val="18"/>
        </w:rPr>
      </w:pPr>
      <w:r w:rsidRPr="003F7AE1">
        <w:rPr>
          <w:rFonts w:ascii="Calibri" w:hAnsi="Calibri"/>
          <w:sz w:val="18"/>
        </w:rPr>
        <w:t>See Teacher Considerations sections (odd numbered pages throughout unit).</w:t>
      </w:r>
    </w:p>
    <w:p w:rsidR="00F54D59" w:rsidRDefault="00F54D59" w:rsidP="00F54D59">
      <w:pPr>
        <w:pStyle w:val="FreeForm"/>
        <w:ind w:left="1260" w:hanging="180"/>
        <w:jc w:val="both"/>
        <w:rPr>
          <w:rFonts w:ascii="Calibri Bold" w:hAnsi="Calibri Bold"/>
          <w:sz w:val="18"/>
        </w:rPr>
      </w:pPr>
    </w:p>
    <w:p w:rsidR="002C55EB" w:rsidRDefault="002C55EB" w:rsidP="00FF4662">
      <w:pPr>
        <w:pStyle w:val="FreeForm"/>
        <w:ind w:left="1080" w:hanging="360"/>
        <w:jc w:val="both"/>
        <w:rPr>
          <w:rFonts w:ascii="Calibri Bold" w:hAnsi="Calibri Bold"/>
          <w:sz w:val="18"/>
        </w:rPr>
      </w:pPr>
      <w:r>
        <w:rPr>
          <w:rFonts w:ascii="Calibri Bold" w:hAnsi="Calibri Bold"/>
          <w:sz w:val="18"/>
        </w:rPr>
        <w:t>Materials and Student Management</w:t>
      </w:r>
    </w:p>
    <w:p w:rsidR="00F54D59" w:rsidRPr="00F54D59" w:rsidRDefault="00F54D59" w:rsidP="00F54D59">
      <w:pPr>
        <w:numPr>
          <w:ilvl w:val="0"/>
          <w:numId w:val="13"/>
        </w:numPr>
        <w:ind w:left="1260" w:hanging="180"/>
        <w:jc w:val="both"/>
        <w:rPr>
          <w:rFonts w:ascii="Calibri" w:hAnsi="Calibri"/>
          <w:sz w:val="18"/>
        </w:rPr>
      </w:pPr>
      <w:r w:rsidRPr="00F54D59">
        <w:rPr>
          <w:rFonts w:ascii="Calibri" w:hAnsi="Calibri"/>
          <w:sz w:val="18"/>
        </w:rPr>
        <w:t>See Teacher Considerations sections (odd numbered pages throughout unit).</w:t>
      </w:r>
    </w:p>
    <w:p w:rsidR="002C55EB" w:rsidRDefault="002C55EB" w:rsidP="002C55EB">
      <w:pPr>
        <w:jc w:val="both"/>
        <w:rPr>
          <w:rFonts w:ascii="Calibri Bold" w:hAnsi="Calibri Bold"/>
          <w:sz w:val="18"/>
        </w:rPr>
      </w:pPr>
    </w:p>
    <w:p w:rsidR="002C55EB" w:rsidRDefault="002C55EB" w:rsidP="00FF4662">
      <w:pPr>
        <w:ind w:firstLine="720"/>
        <w:jc w:val="both"/>
        <w:rPr>
          <w:rFonts w:ascii="Calibri Bold" w:hAnsi="Calibri Bold"/>
          <w:sz w:val="18"/>
        </w:rPr>
      </w:pPr>
      <w:r>
        <w:rPr>
          <w:rFonts w:ascii="Calibri Bold" w:hAnsi="Calibri Bold"/>
          <w:sz w:val="18"/>
        </w:rPr>
        <w:t>Timing Considerations</w:t>
      </w:r>
    </w:p>
    <w:p w:rsidR="00F54D59" w:rsidRPr="00F54D59" w:rsidRDefault="00F54D59" w:rsidP="00FF4662">
      <w:pPr>
        <w:pStyle w:val="ListParagraph"/>
        <w:numPr>
          <w:ilvl w:val="0"/>
          <w:numId w:val="7"/>
        </w:numPr>
        <w:ind w:left="1260" w:hanging="180"/>
        <w:rPr>
          <w:rFonts w:ascii="Calibri" w:hAnsi="Calibri"/>
          <w:sz w:val="18"/>
        </w:rPr>
      </w:pPr>
      <w:r w:rsidRPr="00F54D59">
        <w:rPr>
          <w:rFonts w:ascii="Calibri" w:hAnsi="Calibri"/>
          <w:sz w:val="18"/>
        </w:rPr>
        <w:t>See Teacher Considerations sections (odd numbered pages throughout unit).</w:t>
      </w:r>
    </w:p>
    <w:p w:rsidR="006234D6" w:rsidRPr="006234D6" w:rsidRDefault="006234D6" w:rsidP="006234D6">
      <w:pPr>
        <w:jc w:val="right"/>
      </w:pPr>
    </w:p>
    <w:sectPr w:rsidR="006234D6" w:rsidRPr="006234D6" w:rsidSect="00D577D3">
      <w:headerReference w:type="default" r:id="rId7"/>
      <w:footerReference w:type="default" r:id="rId8"/>
      <w:pgSz w:w="12240" w:h="15840"/>
      <w:pgMar w:top="720" w:right="720" w:bottom="72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647" w:rsidRDefault="00D77647" w:rsidP="004A2F99">
      <w:r>
        <w:separator/>
      </w:r>
    </w:p>
  </w:endnote>
  <w:endnote w:type="continuationSeparator" w:id="0">
    <w:p w:rsidR="00D77647" w:rsidRDefault="00D77647"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Bold">
    <w:panose1 w:val="020F07020304040302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647" w:rsidRDefault="00D77647" w:rsidP="004A2F99">
      <w:r>
        <w:separator/>
      </w:r>
    </w:p>
  </w:footnote>
  <w:footnote w:type="continuationSeparator" w:id="0">
    <w:p w:rsidR="00D77647" w:rsidRDefault="00D77647"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CC1AEF" w:rsidP="006234D6">
    <w:pPr>
      <w:pStyle w:val="Header"/>
      <w:rPr>
        <w:sz w:val="16"/>
      </w:rPr>
    </w:pPr>
    <w:r>
      <w:rPr>
        <w:noProof/>
        <w:sz w:val="16"/>
      </w:rPr>
      <w:pict>
        <v:roundrect id="_x0000_s2053" style="position:absolute;margin-left:.35pt;margin-top:-36pt;width:539.25pt;height:43.25pt;z-index:251662336" arcsize="10923f" fillcolor="white [3212]" strokecolor="black [3213]">
          <v:fill o:detectmouseclick="t"/>
          <v:shadow on="t" opacity="22938f" offset="0"/>
          <v:textbox inset="0,0,0,0">
            <w:txbxContent>
              <w:p w:rsidR="002E409C" w:rsidRPr="003F7AE1" w:rsidRDefault="006A4725" w:rsidP="002701DB">
                <w:pPr>
                  <w:jc w:val="center"/>
                  <w:rPr>
                    <w:rFonts w:asciiTheme="majorHAnsi" w:hAnsiTheme="majorHAnsi"/>
                    <w:sz w:val="28"/>
                    <w:szCs w:val="28"/>
                  </w:rPr>
                </w:pPr>
                <w:r w:rsidRPr="003F7AE1">
                  <w:rPr>
                    <w:rFonts w:asciiTheme="majorHAnsi" w:hAnsiTheme="majorHAnsi"/>
                    <w:b/>
                    <w:bCs/>
                    <w:sz w:val="28"/>
                    <w:szCs w:val="28"/>
                  </w:rPr>
                  <w:t>GEMS Space Science Sequence</w:t>
                </w:r>
                <w:r w:rsidR="002701DB" w:rsidRPr="003F7AE1">
                  <w:rPr>
                    <w:rFonts w:asciiTheme="majorHAnsi" w:hAnsiTheme="majorHAnsi"/>
                    <w:b/>
                    <w:bCs/>
                    <w:sz w:val="28"/>
                    <w:szCs w:val="28"/>
                  </w:rPr>
                  <w:t xml:space="preserve"> Unit 4: Why do we have moon phases and eclipses?</w:t>
                </w:r>
              </w:p>
            </w:txbxContent>
          </v:textbox>
        </v:roundrect>
      </w:pict>
    </w:r>
    <w:r>
      <w:rPr>
        <w:noProof/>
        <w:sz w:val="16"/>
      </w:rPr>
      <w:pict>
        <v:roundrect id="_x0000_s2052" style="position:absolute;margin-left:.35pt;margin-top:-54pt;width:539.25pt;height:54pt;z-index:251661312" arcsize="6918f" fillcolor="#17365d [2415]" strokecolor="black [3213]">
          <v:fill o:detectmouseclick="t"/>
          <v:shadow opacity="22938f" offset="0"/>
          <v:textbox style="mso-next-textbox:#_x0000_s2052" inset="0,0,0,0">
            <w:txbxContent>
              <w:p w:rsidR="002E409C" w:rsidRPr="00014DA4" w:rsidRDefault="002E409C" w:rsidP="006234D6">
                <w:pPr>
                  <w:rPr>
                    <w:rFonts w:asciiTheme="majorHAnsi" w:hAnsiTheme="majorHAnsi"/>
                    <w:b/>
                    <w:color w:val="FFFFFF" w:themeColor="background1"/>
                  </w:rPr>
                </w:pPr>
                <w:r w:rsidRPr="00014DA4">
                  <w:rPr>
                    <w:rFonts w:asciiTheme="majorHAnsi" w:hAnsiTheme="majorHAnsi"/>
                    <w:b/>
                    <w:color w:val="FFFFFF" w:themeColor="background1"/>
                  </w:rPr>
                  <w:t xml:space="preserve">North Cascades and Olympic Science Partnership </w:t>
                </w:r>
                <w:proofErr w:type="spellStart"/>
                <w:r w:rsidRPr="00014DA4">
                  <w:rPr>
                    <w:rFonts w:asciiTheme="majorHAnsi" w:hAnsiTheme="majorHAnsi"/>
                    <w:b/>
                    <w:color w:val="FFFFFF" w:themeColor="background1"/>
                  </w:rPr>
                  <w:t>Noyce</w:t>
                </w:r>
                <w:proofErr w:type="spellEnd"/>
                <w:r w:rsidRPr="00014DA4">
                  <w:rPr>
                    <w:rFonts w:asciiTheme="majorHAnsi" w:hAnsiTheme="majorHAnsi"/>
                    <w:b/>
                    <w:color w:val="FFFFFF" w:themeColor="background1"/>
                  </w:rPr>
                  <w:t xml:space="preserve"> Fellowship</w:t>
                </w:r>
                <w:r w:rsidR="002701DB">
                  <w:rPr>
                    <w:rFonts w:asciiTheme="majorHAnsi" w:hAnsiTheme="majorHAnsi"/>
                    <w:b/>
                    <w:color w:val="FFFFFF" w:themeColor="background1"/>
                  </w:rPr>
                  <w:t xml:space="preserve"> </w:t>
                </w:r>
                <w:r w:rsidR="002701DB" w:rsidRPr="002701DB">
                  <w:rPr>
                    <w:rFonts w:asciiTheme="majorHAnsi" w:hAnsiTheme="majorHAnsi"/>
                    <w:b/>
                  </w:rPr>
                  <w:t>Teacher Tips:</w:t>
                </w:r>
              </w:p>
            </w:txbxContent>
          </v:textbox>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B270296"/>
    <w:multiLevelType w:val="hybridMultilevel"/>
    <w:tmpl w:val="9684A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FA008F"/>
    <w:multiLevelType w:val="hybridMultilevel"/>
    <w:tmpl w:val="4A6ED0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4">
    <w:nsid w:val="30AE36CC"/>
    <w:multiLevelType w:val="hybridMultilevel"/>
    <w:tmpl w:val="FC8E66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2C66BBD"/>
    <w:multiLevelType w:val="hybridMultilevel"/>
    <w:tmpl w:val="0E5C27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CCA2C9E"/>
    <w:multiLevelType w:val="hybridMultilevel"/>
    <w:tmpl w:val="EA50BB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3"/>
  </w:num>
  <w:num w:numId="7">
    <w:abstractNumId w:val="17"/>
  </w:num>
  <w:num w:numId="8">
    <w:abstractNumId w:val="5"/>
  </w:num>
  <w:num w:numId="9">
    <w:abstractNumId w:val="6"/>
  </w:num>
  <w:num w:numId="10">
    <w:abstractNumId w:val="7"/>
  </w:num>
  <w:num w:numId="11">
    <w:abstractNumId w:val="8"/>
  </w:num>
  <w:num w:numId="12">
    <w:abstractNumId w:val="9"/>
  </w:num>
  <w:num w:numId="13">
    <w:abstractNumId w:val="11"/>
  </w:num>
  <w:num w:numId="14">
    <w:abstractNumId w:val="10"/>
  </w:num>
  <w:num w:numId="15">
    <w:abstractNumId w:val="15"/>
  </w:num>
  <w:num w:numId="16">
    <w:abstractNumId w:val="16"/>
  </w:num>
  <w:num w:numId="17">
    <w:abstractNumId w:val="12"/>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fillcolor="none [2415]"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A68B6"/>
    <w:rsid w:val="000B4FFF"/>
    <w:rsid w:val="00154687"/>
    <w:rsid w:val="001E5561"/>
    <w:rsid w:val="00247FE9"/>
    <w:rsid w:val="0026650E"/>
    <w:rsid w:val="002701DB"/>
    <w:rsid w:val="002C55EB"/>
    <w:rsid w:val="002E409C"/>
    <w:rsid w:val="002E5D98"/>
    <w:rsid w:val="002F7AF4"/>
    <w:rsid w:val="00355182"/>
    <w:rsid w:val="003A11F4"/>
    <w:rsid w:val="003F7AE1"/>
    <w:rsid w:val="00405D23"/>
    <w:rsid w:val="00407BF8"/>
    <w:rsid w:val="004A2F99"/>
    <w:rsid w:val="004A53BF"/>
    <w:rsid w:val="00556C77"/>
    <w:rsid w:val="005E2F89"/>
    <w:rsid w:val="006234D6"/>
    <w:rsid w:val="006716B1"/>
    <w:rsid w:val="006A4725"/>
    <w:rsid w:val="00735721"/>
    <w:rsid w:val="0079031B"/>
    <w:rsid w:val="007F59D9"/>
    <w:rsid w:val="008F6437"/>
    <w:rsid w:val="00AB2F3E"/>
    <w:rsid w:val="00B513A6"/>
    <w:rsid w:val="00BC2C3C"/>
    <w:rsid w:val="00C469A6"/>
    <w:rsid w:val="00CC1AEF"/>
    <w:rsid w:val="00D577D3"/>
    <w:rsid w:val="00D77647"/>
    <w:rsid w:val="00D93C9E"/>
    <w:rsid w:val="00DA23FC"/>
    <w:rsid w:val="00E9028E"/>
    <w:rsid w:val="00EB5B3A"/>
    <w:rsid w:val="00F54D59"/>
    <w:rsid w:val="00F60B39"/>
    <w:rsid w:val="00FC0B3C"/>
    <w:rsid w:val="00FD24C2"/>
    <w:rsid w:val="00FF466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fillcolor="none [2415]"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 w:type="paragraph" w:customStyle="1" w:styleId="ListStyle">
    <w:name w:val="ListStyle"/>
    <w:rsid w:val="00FF4662"/>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521</Words>
  <Characters>2974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Sarah Neyman</cp:lastModifiedBy>
  <cp:revision>8</cp:revision>
  <cp:lastPrinted>2010-06-25T21:13:00Z</cp:lastPrinted>
  <dcterms:created xsi:type="dcterms:W3CDTF">2010-11-04T16:34:00Z</dcterms:created>
  <dcterms:modified xsi:type="dcterms:W3CDTF">2010-11-10T17:39:00Z</dcterms:modified>
</cp:coreProperties>
</file>